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99" w:rsidRPr="0033747F" w:rsidRDefault="00093499" w:rsidP="00093499">
            <w:pPr>
              <w:rPr>
                <w:rFonts w:ascii="Arial" w:hAnsi="Arial" w:cs="Arial"/>
                <w:sz w:val="20"/>
                <w:szCs w:val="20"/>
              </w:rPr>
            </w:pPr>
            <w:r w:rsidRPr="0033747F">
              <w:rPr>
                <w:rFonts w:ascii="Arial" w:hAnsi="Arial" w:cs="Arial"/>
                <w:sz w:val="20"/>
                <w:szCs w:val="20"/>
              </w:rPr>
              <w:t>Unit 1: Pre-production Techniques for the Creative Media Industries</w:t>
            </w:r>
          </w:p>
          <w:p w:rsidR="000A3990" w:rsidRPr="00E05864" w:rsidRDefault="00093499" w:rsidP="007E51CD">
            <w:pPr>
              <w:rPr>
                <w:rFonts w:ascii="Arial" w:hAnsi="Arial" w:cs="Arial"/>
                <w:sz w:val="20"/>
                <w:szCs w:val="20"/>
              </w:rPr>
            </w:pPr>
            <w:r w:rsidRPr="0033747F">
              <w:rPr>
                <w:rFonts w:ascii="Arial" w:hAnsi="Arial" w:cs="Arial"/>
                <w:sz w:val="20"/>
                <w:szCs w:val="20"/>
              </w:rPr>
              <w:t>Unit 74: Computer Game Story Development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0A3990" w:rsidP="007E5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WC: </w:t>
            </w:r>
            <w:r w:rsidR="0033747F">
              <w:rPr>
                <w:rFonts w:ascii="Arial" w:hAnsi="Arial" w:cs="Arial"/>
                <w:sz w:val="20"/>
                <w:szCs w:val="20"/>
              </w:rPr>
              <w:t>30/04/2018</w:t>
            </w:r>
            <w:r w:rsidR="00B20BEA">
              <w:rPr>
                <w:rFonts w:ascii="Arial" w:hAnsi="Arial" w:cs="Arial"/>
                <w:sz w:val="20"/>
                <w:szCs w:val="20"/>
              </w:rPr>
              <w:t xml:space="preserve"> Group A &amp; B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33747F" w:rsidP="008B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2385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C35F66">
              <w:rPr>
                <w:rFonts w:ascii="Arial" w:hAnsi="Arial" w:cs="Arial"/>
                <w:sz w:val="20"/>
                <w:szCs w:val="20"/>
              </w:rPr>
              <w:t>/201</w:t>
            </w:r>
            <w:r w:rsidR="008B2889">
              <w:rPr>
                <w:rFonts w:ascii="Arial" w:hAnsi="Arial" w:cs="Arial"/>
                <w:sz w:val="20"/>
                <w:szCs w:val="20"/>
              </w:rPr>
              <w:t>8</w:t>
            </w:r>
            <w:r w:rsidR="000A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66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B20BEA">
              <w:rPr>
                <w:rFonts w:ascii="Arial" w:hAnsi="Arial" w:cs="Arial"/>
                <w:sz w:val="20"/>
                <w:szCs w:val="20"/>
              </w:rPr>
              <w:t>A &amp; B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D62D59" w:rsidP="00E506FB">
            <w:pPr>
              <w:rPr>
                <w:rFonts w:ascii="Arial" w:hAnsi="Arial" w:cs="Arial"/>
                <w:sz w:val="20"/>
                <w:szCs w:val="20"/>
              </w:rPr>
            </w:pPr>
            <w:r w:rsidRPr="000A399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Assignment </w:t>
            </w:r>
            <w:r w:rsidR="00E506FB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4</w:t>
            </w:r>
            <w:r w:rsidR="007E51C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–</w:t>
            </w:r>
            <w:r w:rsidR="00323858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E506FB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Game Development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15BF2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323858" w:rsidRDefault="00323858" w:rsidP="00A9534C">
            <w:pPr>
              <w:rPr>
                <w:b/>
                <w:color w:val="002060"/>
                <w:sz w:val="22"/>
                <w:szCs w:val="22"/>
              </w:rPr>
            </w:pPr>
          </w:p>
          <w:p w:rsidR="00E506FB" w:rsidRDefault="00E506FB" w:rsidP="00E506FB">
            <w:r w:rsidRPr="000A399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1</w:t>
            </w:r>
            <w:r w:rsidRPr="000A399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: </w:t>
            </w:r>
            <w:r>
              <w:t>Pre-production Techniques for the Creative Media Industries</w:t>
            </w:r>
          </w:p>
          <w:p w:rsidR="000A3990" w:rsidRDefault="000A3990" w:rsidP="00A9534C">
            <w:pPr>
              <w:rPr>
                <w:b/>
                <w:color w:val="002060"/>
                <w:sz w:val="22"/>
                <w:szCs w:val="22"/>
              </w:rPr>
            </w:pPr>
          </w:p>
          <w:p w:rsidR="00E25389" w:rsidRDefault="00E506FB" w:rsidP="000A3990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43FB0A" wp14:editId="1F1120D1">
                  <wp:extent cx="6664756" cy="13239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557" t="60364" r="29248" b="24735"/>
                          <a:stretch/>
                        </pic:blipFill>
                        <pic:spPr bwMode="auto">
                          <a:xfrm>
                            <a:off x="0" y="0"/>
                            <a:ext cx="6688488" cy="1328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06FB" w:rsidRDefault="00E506FB" w:rsidP="00E506FB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E506FB" w:rsidRDefault="00E506FB" w:rsidP="00E506FB">
            <w:r w:rsidRPr="00163D64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Unit 74:</w:t>
            </w:r>
            <w:r>
              <w:t xml:space="preserve"> Computer Game Story Development</w:t>
            </w:r>
          </w:p>
          <w:p w:rsidR="00E506FB" w:rsidRDefault="00E506FB" w:rsidP="000D0751"/>
          <w:p w:rsidR="00247F69" w:rsidRDefault="00E506FB" w:rsidP="000D0751">
            <w:pPr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338C8E5" wp14:editId="3CA31536">
                  <wp:extent cx="6497565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0972" t="52281" r="31948" b="36606"/>
                          <a:stretch/>
                        </pic:blipFill>
                        <pic:spPr bwMode="auto">
                          <a:xfrm>
                            <a:off x="0" y="0"/>
                            <a:ext cx="6506938" cy="1096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7F69" w:rsidRDefault="00247F69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01AC9" w:rsidRDefault="00D01AC9" w:rsidP="000A3990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0A3990" w:rsidRPr="00D339B7" w:rsidRDefault="000A3990" w:rsidP="000A3990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D339B7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Scenario</w:t>
            </w:r>
          </w:p>
          <w:p w:rsidR="000A3990" w:rsidRPr="00D339B7" w:rsidRDefault="000A3990" w:rsidP="000A3990"/>
          <w:p w:rsidR="000A3990" w:rsidRPr="00D339B7" w:rsidRDefault="000A3990" w:rsidP="000A3990">
            <w:r w:rsidRPr="00D339B7">
              <w:t xml:space="preserve">You are </w:t>
            </w:r>
            <w:r w:rsidR="000D51C0" w:rsidRPr="00D339B7">
              <w:t>an</w:t>
            </w:r>
            <w:r w:rsidR="00323858" w:rsidRPr="00D339B7">
              <w:t xml:space="preserve"> apprentice games designer</w:t>
            </w:r>
            <w:r w:rsidR="0045785A" w:rsidRPr="00D339B7">
              <w:t xml:space="preserve"> and you </w:t>
            </w:r>
            <w:r w:rsidR="00537D83" w:rsidRPr="00D339B7">
              <w:t xml:space="preserve">have been </w:t>
            </w:r>
            <w:r w:rsidR="000D51C0" w:rsidRPr="00D339B7">
              <w:t xml:space="preserve">asked to develop a new game concept. </w:t>
            </w:r>
            <w:r w:rsidR="00B90461" w:rsidRPr="00D339B7">
              <w:t>You have</w:t>
            </w:r>
            <w:r w:rsidR="000D51C0" w:rsidRPr="00D339B7">
              <w:t xml:space="preserve"> create</w:t>
            </w:r>
            <w:r w:rsidR="00B90461" w:rsidRPr="00D339B7">
              <w:t>d</w:t>
            </w:r>
            <w:r w:rsidR="000D51C0" w:rsidRPr="00D339B7">
              <w:t xml:space="preserve"> a design portfolio and report for a 2D game using the GameMaker engine with a science fiction theme. The target plat</w:t>
            </w:r>
            <w:r w:rsidR="00B90461" w:rsidRPr="00D339B7">
              <w:t>form is PC. Maths based puzzles/</w:t>
            </w:r>
            <w:r w:rsidR="000D51C0" w:rsidRPr="00D339B7">
              <w:t>questions are required to be implemented within the gameplay and must be equivalent to GCSE grade 4 or above.</w:t>
            </w:r>
            <w:r w:rsidR="007E51CD" w:rsidRPr="00D339B7">
              <w:t xml:space="preserve"> </w:t>
            </w:r>
            <w:r w:rsidR="00B90461" w:rsidRPr="00D339B7">
              <w:t xml:space="preserve">You have pitched your game and it’s been greenlit by your supervisor. </w:t>
            </w:r>
            <w:r w:rsidR="007E51CD" w:rsidRPr="00D339B7">
              <w:t xml:space="preserve">You are now required to </w:t>
            </w:r>
            <w:r w:rsidR="0033747F">
              <w:t xml:space="preserve">finalise your narration and dialogue and </w:t>
            </w:r>
            <w:r w:rsidR="00E506FB" w:rsidRPr="00D339B7">
              <w:t>produce your game</w:t>
            </w:r>
            <w:r w:rsidR="007E51CD" w:rsidRPr="00D339B7">
              <w:t>.</w:t>
            </w:r>
          </w:p>
          <w:p w:rsidR="000A3990" w:rsidRPr="00D339B7" w:rsidRDefault="000A3990" w:rsidP="00741D89">
            <w:pPr>
              <w:autoSpaceDE w:val="0"/>
              <w:autoSpaceDN w:val="0"/>
              <w:adjustRightInd w:val="0"/>
            </w:pPr>
          </w:p>
          <w:p w:rsidR="00E506FB" w:rsidRPr="00D339B7" w:rsidRDefault="00E74CC4" w:rsidP="00D339B7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D339B7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  <w:r w:rsidR="00E506FB" w:rsidRPr="00D339B7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1 - Narration and Dialogue </w:t>
            </w:r>
          </w:p>
          <w:p w:rsidR="00E506FB" w:rsidRDefault="00E506FB" w:rsidP="00741D89">
            <w:pPr>
              <w:autoSpaceDE w:val="0"/>
              <w:autoSpaceDN w:val="0"/>
              <w:adjustRightInd w:val="0"/>
            </w:pPr>
          </w:p>
          <w:p w:rsidR="00E506FB" w:rsidRDefault="00D339B7" w:rsidP="00741D89">
            <w:pPr>
              <w:autoSpaceDE w:val="0"/>
              <w:autoSpaceDN w:val="0"/>
              <w:adjustRightInd w:val="0"/>
            </w:pPr>
            <w:r>
              <w:t>Using your completed story as a basis y</w:t>
            </w:r>
            <w:r w:rsidR="00545B62">
              <w:t>ou</w:t>
            </w:r>
            <w:r w:rsidR="00E506FB">
              <w:t xml:space="preserve"> will produce a portfolio containing documentation that covers: </w:t>
            </w:r>
          </w:p>
          <w:p w:rsidR="00E506FB" w:rsidRDefault="00E506FB" w:rsidP="00741D89">
            <w:pPr>
              <w:autoSpaceDE w:val="0"/>
              <w:autoSpaceDN w:val="0"/>
              <w:adjustRightInd w:val="0"/>
            </w:pPr>
          </w:p>
          <w:p w:rsidR="00D339B7" w:rsidRDefault="00D51E8E" w:rsidP="00D339B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Linear or non-linear </w:t>
            </w:r>
            <w:r w:rsidR="00D339B7">
              <w:t>flowchart</w:t>
            </w:r>
            <w:r>
              <w:t xml:space="preserve"> showing story progression</w:t>
            </w:r>
          </w:p>
          <w:p w:rsidR="00D339B7" w:rsidRDefault="00303CAC" w:rsidP="00D339B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Completed </w:t>
            </w:r>
            <w:r w:rsidR="00D339B7">
              <w:t xml:space="preserve">script </w:t>
            </w:r>
          </w:p>
          <w:p w:rsidR="00303CAC" w:rsidRDefault="00E506FB" w:rsidP="00303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game dialogue sources </w:t>
            </w:r>
            <w:r w:rsidR="00D339B7">
              <w:t xml:space="preserve">and </w:t>
            </w:r>
            <w:r>
              <w:t xml:space="preserve">verbal elements of narration </w:t>
            </w:r>
            <w:r w:rsidR="00D339B7">
              <w:t>identified</w:t>
            </w:r>
          </w:p>
          <w:p w:rsidR="00303CAC" w:rsidRPr="00D339B7" w:rsidRDefault="00E506FB" w:rsidP="00303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reflections on finished </w:t>
            </w:r>
            <w:r w:rsidR="00303CAC">
              <w:t>dialogue considering literary qualities and fitness for purpose.</w:t>
            </w:r>
          </w:p>
          <w:p w:rsidR="00E506FB" w:rsidRDefault="00E506FB" w:rsidP="00303CAC">
            <w:pPr>
              <w:pStyle w:val="ListParagraph"/>
              <w:autoSpaceDE w:val="0"/>
              <w:autoSpaceDN w:val="0"/>
              <w:adjustRightInd w:val="0"/>
            </w:pPr>
          </w:p>
          <w:p w:rsidR="0033747F" w:rsidRDefault="0033747F" w:rsidP="0033747F">
            <w:pPr>
              <w:autoSpaceDE w:val="0"/>
              <w:autoSpaceDN w:val="0"/>
              <w:adjustRightInd w:val="0"/>
            </w:pPr>
          </w:p>
          <w:p w:rsidR="0033747F" w:rsidRPr="00D339B7" w:rsidRDefault="00303CAC" w:rsidP="0033747F">
            <w:pPr>
              <w:autoSpaceDE w:val="0"/>
              <w:autoSpaceDN w:val="0"/>
              <w:adjustRightInd w:val="0"/>
            </w:pPr>
            <w:r>
              <w:t>Consider</w:t>
            </w:r>
            <w:r w:rsidR="0033747F">
              <w:t xml:space="preserve"> narration, voiceover and off-screen speech. </w:t>
            </w:r>
            <w:r>
              <w:t xml:space="preserve">Higher grades will be given for </w:t>
            </w:r>
            <w:r w:rsidR="0033747F">
              <w:t xml:space="preserve">a script which can be followed by others, including voice actors and directors. </w:t>
            </w:r>
            <w:r>
              <w:t>Along with giving</w:t>
            </w:r>
            <w:r w:rsidR="0033747F">
              <w:t xml:space="preserve"> characters believable speech which is tailored to their characterisation and which progresses fluently. To achieve this grade, dialogue must be clearly written to encou</w:t>
            </w:r>
            <w:r>
              <w:t>rage interactivity of gameplay.</w:t>
            </w:r>
          </w:p>
          <w:p w:rsidR="00F92756" w:rsidRPr="00D339B7" w:rsidRDefault="00F92756" w:rsidP="00741D89">
            <w:pPr>
              <w:autoSpaceDE w:val="0"/>
              <w:autoSpaceDN w:val="0"/>
              <w:adjustRightInd w:val="0"/>
            </w:pPr>
          </w:p>
          <w:p w:rsidR="00E506FB" w:rsidRPr="00D339B7" w:rsidRDefault="00E506FB" w:rsidP="00D339B7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D339B7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 2 – Game Production</w:t>
            </w:r>
          </w:p>
          <w:p w:rsidR="008B2889" w:rsidRDefault="008B2889" w:rsidP="007E51CD">
            <w:pPr>
              <w:autoSpaceDE w:val="0"/>
              <w:autoSpaceDN w:val="0"/>
              <w:adjustRightInd w:val="0"/>
            </w:pPr>
          </w:p>
          <w:p w:rsidR="00E506FB" w:rsidRDefault="00545B62" w:rsidP="007E51CD">
            <w:pPr>
              <w:autoSpaceDE w:val="0"/>
              <w:autoSpaceDN w:val="0"/>
              <w:adjustRightInd w:val="0"/>
            </w:pPr>
            <w:r>
              <w:t xml:space="preserve">Working to the brief </w:t>
            </w:r>
            <w:bookmarkStart w:id="0" w:name="_GoBack"/>
            <w:bookmarkEnd w:id="0"/>
            <w:r>
              <w:t xml:space="preserve">you will now </w:t>
            </w:r>
            <w:r w:rsidR="00D339B7">
              <w:t xml:space="preserve">implement and create your game </w:t>
            </w:r>
            <w:r>
              <w:t>using your planning and design documentation</w:t>
            </w:r>
            <w:r w:rsidR="001A3832">
              <w:t xml:space="preserve"> as a guide</w:t>
            </w:r>
            <w:r w:rsidR="00D339B7">
              <w:t>. Your independent working, organisation and ability to meet the deadline are of high importance to the marking criteria.</w:t>
            </w:r>
          </w:p>
          <w:p w:rsidR="0036281A" w:rsidRDefault="0036281A" w:rsidP="007E51CD">
            <w:pPr>
              <w:autoSpaceDE w:val="0"/>
              <w:autoSpaceDN w:val="0"/>
              <w:adjustRightInd w:val="0"/>
            </w:pPr>
          </w:p>
          <w:p w:rsidR="0036281A" w:rsidRDefault="0036281A" w:rsidP="007E51CD">
            <w:pPr>
              <w:autoSpaceDE w:val="0"/>
              <w:autoSpaceDN w:val="0"/>
              <w:adjustRightInd w:val="0"/>
            </w:pPr>
            <w:r>
              <w:t>You will hand in:</w:t>
            </w:r>
          </w:p>
          <w:p w:rsidR="0036281A" w:rsidRDefault="0036281A" w:rsidP="007E51CD">
            <w:pPr>
              <w:autoSpaceDE w:val="0"/>
              <w:autoSpaceDN w:val="0"/>
              <w:adjustRightInd w:val="0"/>
            </w:pPr>
          </w:p>
          <w:p w:rsidR="0036281A" w:rsidRDefault="0036281A" w:rsidP="003628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Scheme of work</w:t>
            </w:r>
          </w:p>
          <w:p w:rsidR="0036281A" w:rsidRDefault="0036281A" w:rsidP="003628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Development Diary</w:t>
            </w:r>
          </w:p>
          <w:p w:rsidR="0036281A" w:rsidRDefault="0036281A" w:rsidP="003628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Video play-through and demonstration of your finished game</w:t>
            </w:r>
          </w:p>
          <w:p w:rsidR="001A3832" w:rsidRPr="008B2889" w:rsidRDefault="001A3832" w:rsidP="007E51CD">
            <w:pPr>
              <w:autoSpaceDE w:val="0"/>
              <w:autoSpaceDN w:val="0"/>
              <w:adjustRightInd w:val="0"/>
            </w:pP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6F7" w:rsidRPr="00E05864" w:rsidRDefault="002E66F7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2E66F7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88" w:rsidRDefault="008F2588">
      <w:r>
        <w:separator/>
      </w:r>
    </w:p>
  </w:endnote>
  <w:endnote w:type="continuationSeparator" w:id="0">
    <w:p w:rsidR="008F2588" w:rsidRDefault="008F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31BT-Bol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88" w:rsidRDefault="008F2588">
      <w:r>
        <w:separator/>
      </w:r>
    </w:p>
  </w:footnote>
  <w:footnote w:type="continuationSeparator" w:id="0">
    <w:p w:rsidR="008F2588" w:rsidRDefault="008F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36C"/>
    <w:multiLevelType w:val="hybridMultilevel"/>
    <w:tmpl w:val="9570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2DCB"/>
    <w:multiLevelType w:val="hybridMultilevel"/>
    <w:tmpl w:val="DC2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3070CF"/>
    <w:multiLevelType w:val="hybridMultilevel"/>
    <w:tmpl w:val="EA24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9EC"/>
    <w:multiLevelType w:val="hybridMultilevel"/>
    <w:tmpl w:val="174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55363"/>
    <w:multiLevelType w:val="hybridMultilevel"/>
    <w:tmpl w:val="6C2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445C"/>
    <w:multiLevelType w:val="hybridMultilevel"/>
    <w:tmpl w:val="6688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0166D"/>
    <w:multiLevelType w:val="hybridMultilevel"/>
    <w:tmpl w:val="17D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DMwMzI0MzA0sDBW0lEKTi0uzszPAykwrAUAko+CICwAAAA="/>
  </w:docVars>
  <w:rsids>
    <w:rsidRoot w:val="00597785"/>
    <w:rsid w:val="00015C7A"/>
    <w:rsid w:val="00017AF4"/>
    <w:rsid w:val="00023C12"/>
    <w:rsid w:val="00044FB3"/>
    <w:rsid w:val="0006275F"/>
    <w:rsid w:val="00083D19"/>
    <w:rsid w:val="00093499"/>
    <w:rsid w:val="000A3990"/>
    <w:rsid w:val="000B1A49"/>
    <w:rsid w:val="000C283F"/>
    <w:rsid w:val="000C38ED"/>
    <w:rsid w:val="000C7098"/>
    <w:rsid w:val="000D0751"/>
    <w:rsid w:val="000D51C0"/>
    <w:rsid w:val="000E187C"/>
    <w:rsid w:val="000E4B0D"/>
    <w:rsid w:val="001105C8"/>
    <w:rsid w:val="00113BF9"/>
    <w:rsid w:val="00117E42"/>
    <w:rsid w:val="00157825"/>
    <w:rsid w:val="00170B19"/>
    <w:rsid w:val="00180BB7"/>
    <w:rsid w:val="001A3832"/>
    <w:rsid w:val="001F2093"/>
    <w:rsid w:val="0020178F"/>
    <w:rsid w:val="002032AD"/>
    <w:rsid w:val="00226ACE"/>
    <w:rsid w:val="00241FE0"/>
    <w:rsid w:val="00246DF3"/>
    <w:rsid w:val="00247F69"/>
    <w:rsid w:val="002533FD"/>
    <w:rsid w:val="00267630"/>
    <w:rsid w:val="0027694C"/>
    <w:rsid w:val="00277D11"/>
    <w:rsid w:val="00282E92"/>
    <w:rsid w:val="0029592E"/>
    <w:rsid w:val="00295960"/>
    <w:rsid w:val="002B1E03"/>
    <w:rsid w:val="002C3A0E"/>
    <w:rsid w:val="002E66F7"/>
    <w:rsid w:val="002E7836"/>
    <w:rsid w:val="002E7AC5"/>
    <w:rsid w:val="002F0085"/>
    <w:rsid w:val="002F49CF"/>
    <w:rsid w:val="00303CAC"/>
    <w:rsid w:val="00304ABD"/>
    <w:rsid w:val="0030766A"/>
    <w:rsid w:val="00310CA0"/>
    <w:rsid w:val="00323858"/>
    <w:rsid w:val="00325823"/>
    <w:rsid w:val="0033747F"/>
    <w:rsid w:val="0035502B"/>
    <w:rsid w:val="0036281A"/>
    <w:rsid w:val="003640F5"/>
    <w:rsid w:val="00382435"/>
    <w:rsid w:val="00393447"/>
    <w:rsid w:val="0039530C"/>
    <w:rsid w:val="003C3B44"/>
    <w:rsid w:val="003C74B1"/>
    <w:rsid w:val="003D1CC2"/>
    <w:rsid w:val="003D4B49"/>
    <w:rsid w:val="003E3AD6"/>
    <w:rsid w:val="003E58B3"/>
    <w:rsid w:val="00410F8E"/>
    <w:rsid w:val="00412335"/>
    <w:rsid w:val="00417577"/>
    <w:rsid w:val="00427B66"/>
    <w:rsid w:val="004429BC"/>
    <w:rsid w:val="00453DE7"/>
    <w:rsid w:val="00455D1F"/>
    <w:rsid w:val="0045785A"/>
    <w:rsid w:val="00463DAE"/>
    <w:rsid w:val="0048034F"/>
    <w:rsid w:val="004A1DCA"/>
    <w:rsid w:val="004A2852"/>
    <w:rsid w:val="004B340A"/>
    <w:rsid w:val="004C2F72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37D83"/>
    <w:rsid w:val="0054109A"/>
    <w:rsid w:val="00545B62"/>
    <w:rsid w:val="00546136"/>
    <w:rsid w:val="00557CC1"/>
    <w:rsid w:val="00564C44"/>
    <w:rsid w:val="005937B4"/>
    <w:rsid w:val="00597785"/>
    <w:rsid w:val="005A5005"/>
    <w:rsid w:val="005B20AB"/>
    <w:rsid w:val="005C0B19"/>
    <w:rsid w:val="005D0440"/>
    <w:rsid w:val="00611D4B"/>
    <w:rsid w:val="00614429"/>
    <w:rsid w:val="006153C4"/>
    <w:rsid w:val="00615BF2"/>
    <w:rsid w:val="006176FF"/>
    <w:rsid w:val="006301B0"/>
    <w:rsid w:val="006367F3"/>
    <w:rsid w:val="00666E4F"/>
    <w:rsid w:val="00671FC1"/>
    <w:rsid w:val="00677ACA"/>
    <w:rsid w:val="006966B7"/>
    <w:rsid w:val="006A7BCC"/>
    <w:rsid w:val="006B29A5"/>
    <w:rsid w:val="006C4CC3"/>
    <w:rsid w:val="006E3E76"/>
    <w:rsid w:val="007037D2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95163"/>
    <w:rsid w:val="00796673"/>
    <w:rsid w:val="007D3623"/>
    <w:rsid w:val="007E51CD"/>
    <w:rsid w:val="0081101F"/>
    <w:rsid w:val="0082167D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B2889"/>
    <w:rsid w:val="008C5E97"/>
    <w:rsid w:val="008D0EBF"/>
    <w:rsid w:val="008D14E8"/>
    <w:rsid w:val="008F2588"/>
    <w:rsid w:val="008F6C63"/>
    <w:rsid w:val="00910BDC"/>
    <w:rsid w:val="00915F57"/>
    <w:rsid w:val="009412A0"/>
    <w:rsid w:val="00941443"/>
    <w:rsid w:val="00991B87"/>
    <w:rsid w:val="00994BBA"/>
    <w:rsid w:val="009A3087"/>
    <w:rsid w:val="009F0C43"/>
    <w:rsid w:val="009F169C"/>
    <w:rsid w:val="00A02DA2"/>
    <w:rsid w:val="00A07B19"/>
    <w:rsid w:val="00A13B07"/>
    <w:rsid w:val="00A220D7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3B4D"/>
    <w:rsid w:val="00A9534C"/>
    <w:rsid w:val="00A96108"/>
    <w:rsid w:val="00AC05E7"/>
    <w:rsid w:val="00AC1B45"/>
    <w:rsid w:val="00AD44F3"/>
    <w:rsid w:val="00AF43E5"/>
    <w:rsid w:val="00AF56D3"/>
    <w:rsid w:val="00AF6B44"/>
    <w:rsid w:val="00B06D91"/>
    <w:rsid w:val="00B15F1C"/>
    <w:rsid w:val="00B20BEA"/>
    <w:rsid w:val="00B34088"/>
    <w:rsid w:val="00B4179C"/>
    <w:rsid w:val="00B514EF"/>
    <w:rsid w:val="00B63742"/>
    <w:rsid w:val="00B744F7"/>
    <w:rsid w:val="00B8414A"/>
    <w:rsid w:val="00B841F8"/>
    <w:rsid w:val="00B90461"/>
    <w:rsid w:val="00BB4E11"/>
    <w:rsid w:val="00BB5F12"/>
    <w:rsid w:val="00BB78FA"/>
    <w:rsid w:val="00BD05FA"/>
    <w:rsid w:val="00BD7981"/>
    <w:rsid w:val="00BE0497"/>
    <w:rsid w:val="00C011D1"/>
    <w:rsid w:val="00C04639"/>
    <w:rsid w:val="00C17431"/>
    <w:rsid w:val="00C35F66"/>
    <w:rsid w:val="00C4457E"/>
    <w:rsid w:val="00C44872"/>
    <w:rsid w:val="00C4770D"/>
    <w:rsid w:val="00C64CDB"/>
    <w:rsid w:val="00C7099F"/>
    <w:rsid w:val="00C773C1"/>
    <w:rsid w:val="00CA7021"/>
    <w:rsid w:val="00D01AC9"/>
    <w:rsid w:val="00D04222"/>
    <w:rsid w:val="00D2769B"/>
    <w:rsid w:val="00D3093A"/>
    <w:rsid w:val="00D32FAB"/>
    <w:rsid w:val="00D339B7"/>
    <w:rsid w:val="00D34791"/>
    <w:rsid w:val="00D34C94"/>
    <w:rsid w:val="00D51E8E"/>
    <w:rsid w:val="00D53B68"/>
    <w:rsid w:val="00D62D59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4634"/>
    <w:rsid w:val="00DE5DEE"/>
    <w:rsid w:val="00E052B0"/>
    <w:rsid w:val="00E05864"/>
    <w:rsid w:val="00E25389"/>
    <w:rsid w:val="00E356E5"/>
    <w:rsid w:val="00E42CA9"/>
    <w:rsid w:val="00E46530"/>
    <w:rsid w:val="00E506FB"/>
    <w:rsid w:val="00E51860"/>
    <w:rsid w:val="00E57382"/>
    <w:rsid w:val="00E63D87"/>
    <w:rsid w:val="00E65935"/>
    <w:rsid w:val="00E74CC4"/>
    <w:rsid w:val="00E7721A"/>
    <w:rsid w:val="00E8757A"/>
    <w:rsid w:val="00E976AE"/>
    <w:rsid w:val="00ED6E32"/>
    <w:rsid w:val="00EF2BB1"/>
    <w:rsid w:val="00EF30A3"/>
    <w:rsid w:val="00F008E3"/>
    <w:rsid w:val="00F03733"/>
    <w:rsid w:val="00F05DDE"/>
    <w:rsid w:val="00F10CCE"/>
    <w:rsid w:val="00F334B9"/>
    <w:rsid w:val="00F338AE"/>
    <w:rsid w:val="00F765B6"/>
    <w:rsid w:val="00F837EC"/>
    <w:rsid w:val="00F92756"/>
    <w:rsid w:val="00FA39FD"/>
    <w:rsid w:val="00FB631C"/>
    <w:rsid w:val="00FC615F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56D54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16</cp:revision>
  <cp:lastPrinted>2015-10-05T12:12:00Z</cp:lastPrinted>
  <dcterms:created xsi:type="dcterms:W3CDTF">2017-09-12T12:46:00Z</dcterms:created>
  <dcterms:modified xsi:type="dcterms:W3CDTF">2018-04-30T08:08:00Z</dcterms:modified>
</cp:coreProperties>
</file>